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jc w:val="center"/>
        <w:rPr>
          <w:rFonts w:ascii="宋体" w:hAnsi="宋体"/>
          <w:b w:val="0"/>
          <w:sz w:val="28"/>
        </w:rPr>
      </w:pPr>
      <w:bookmarkStart w:id="0" w:name="_GoBack"/>
      <w:bookmarkEnd w:id="0"/>
      <w:r>
        <w:rPr>
          <w:rFonts w:hint="eastAsia" w:ascii="宋体" w:hAnsi="宋体"/>
          <w:b w:val="0"/>
          <w:sz w:val="28"/>
        </w:rPr>
        <w:t>竞争性谈判公告</w:t>
      </w:r>
    </w:p>
    <w:p>
      <w:pPr>
        <w:spacing w:line="520" w:lineRule="exact"/>
        <w:ind w:firstLine="480" w:firstLineChars="200"/>
        <w:jc w:val="center"/>
        <w:rPr>
          <w:rFonts w:hint="eastAsia" w:ascii="宋体" w:hAnsi="宋体"/>
        </w:rPr>
      </w:pPr>
    </w:p>
    <w:p>
      <w:pPr>
        <w:spacing w:line="520" w:lineRule="exact"/>
        <w:rPr>
          <w:rFonts w:hint="eastAsia" w:ascii="宋体" w:hAnsi="宋体"/>
          <w:szCs w:val="24"/>
        </w:rPr>
      </w:pPr>
      <w:r>
        <w:rPr>
          <w:rFonts w:hint="eastAsia" w:ascii="宋体" w:hAnsi="宋体"/>
          <w:szCs w:val="24"/>
        </w:rPr>
        <w:t xml:space="preserve">    </w:t>
      </w:r>
      <w:r>
        <w:rPr>
          <w:rFonts w:hint="eastAsia" w:ascii="宋体" w:hAnsi="宋体"/>
          <w:szCs w:val="24"/>
          <w:u w:val="single"/>
        </w:rPr>
        <w:t>中国仪器进出口集团有限公司</w:t>
      </w:r>
      <w:r>
        <w:rPr>
          <w:rFonts w:hint="eastAsia" w:ascii="宋体" w:hAnsi="宋体"/>
          <w:szCs w:val="24"/>
        </w:rPr>
        <w:t>（以下简称“采购代理”）受</w:t>
      </w:r>
      <w:r>
        <w:rPr>
          <w:rFonts w:hint="eastAsia" w:ascii="宋体" w:hAnsi="宋体"/>
          <w:szCs w:val="24"/>
          <w:u w:val="single"/>
        </w:rPr>
        <w:t>中国特种设备检测研究院</w:t>
      </w:r>
      <w:r>
        <w:rPr>
          <w:rFonts w:hint="eastAsia" w:ascii="宋体" w:hAnsi="宋体"/>
          <w:szCs w:val="24"/>
        </w:rPr>
        <w:t>的委托，采用竞争性谈判的方式，邀请合格供应商就以下所需货物及服务提交谈判应答文件。</w:t>
      </w:r>
    </w:p>
    <w:p>
      <w:pPr>
        <w:spacing w:line="520" w:lineRule="exact"/>
        <w:rPr>
          <w:rFonts w:hint="eastAsia" w:ascii="宋体" w:hAnsi="宋体"/>
          <w:szCs w:val="24"/>
        </w:rPr>
      </w:pPr>
      <w:r>
        <w:rPr>
          <w:rFonts w:hint="eastAsia" w:ascii="宋体" w:hAnsi="宋体"/>
          <w:szCs w:val="24"/>
        </w:rPr>
        <w:t xml:space="preserve">    1、项目编号：22CNIC01-2007</w:t>
      </w:r>
    </w:p>
    <w:p>
      <w:pPr>
        <w:ind w:firstLine="480" w:firstLineChars="200"/>
        <w:rPr>
          <w:rFonts w:hint="eastAsia" w:ascii="宋体" w:hAnsi="宋体"/>
          <w:szCs w:val="24"/>
        </w:rPr>
      </w:pPr>
      <w:r>
        <w:rPr>
          <w:rFonts w:hint="eastAsia" w:ascii="宋体" w:hAnsi="宋体"/>
          <w:szCs w:val="24"/>
        </w:rPr>
        <w:t>2、项目名称：中国特种设备检测研究院复合材料结构分析软件项目</w:t>
      </w:r>
    </w:p>
    <w:p>
      <w:pPr>
        <w:spacing w:line="520" w:lineRule="exact"/>
        <w:ind w:firstLine="465"/>
        <w:rPr>
          <w:rFonts w:hint="eastAsia" w:ascii="宋体" w:hAnsi="宋体"/>
          <w:szCs w:val="24"/>
        </w:rPr>
      </w:pPr>
      <w:r>
        <w:rPr>
          <w:rFonts w:hint="eastAsia" w:ascii="宋体" w:hAnsi="宋体"/>
          <w:szCs w:val="24"/>
        </w:rPr>
        <w:t>3、采购内容：</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63"/>
        <w:gridCol w:w="1212"/>
        <w:gridCol w:w="3940"/>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2063" w:type="dxa"/>
            <w:vAlign w:val="center"/>
          </w:tcPr>
          <w:p>
            <w:pPr>
              <w:spacing w:line="240" w:lineRule="auto"/>
              <w:jc w:val="center"/>
              <w:rPr>
                <w:rFonts w:hint="eastAsia" w:ascii="宋体" w:hAnsi="宋体" w:cs="宋体"/>
                <w:color w:val="000000"/>
                <w:szCs w:val="24"/>
              </w:rPr>
            </w:pPr>
            <w:r>
              <w:rPr>
                <w:rFonts w:hint="eastAsia" w:ascii="宋体" w:hAnsi="宋体" w:cs="宋体"/>
                <w:color w:val="000000"/>
                <w:szCs w:val="24"/>
              </w:rPr>
              <w:t>采购内容</w:t>
            </w:r>
          </w:p>
        </w:tc>
        <w:tc>
          <w:tcPr>
            <w:tcW w:w="1212" w:type="dxa"/>
            <w:vAlign w:val="center"/>
          </w:tcPr>
          <w:p>
            <w:pPr>
              <w:tabs>
                <w:tab w:val="left" w:pos="864"/>
              </w:tabs>
              <w:spacing w:line="240" w:lineRule="auto"/>
              <w:jc w:val="center"/>
              <w:rPr>
                <w:rFonts w:ascii="宋体" w:hAnsi="宋体" w:cs="宋体"/>
                <w:color w:val="000000"/>
                <w:szCs w:val="24"/>
              </w:rPr>
            </w:pPr>
            <w:r>
              <w:rPr>
                <w:rFonts w:hint="eastAsia" w:ascii="宋体" w:hAnsi="宋体" w:cs="宋体"/>
                <w:color w:val="000000"/>
                <w:szCs w:val="24"/>
              </w:rPr>
              <w:t>预算金额（万元）</w:t>
            </w:r>
          </w:p>
        </w:tc>
        <w:tc>
          <w:tcPr>
            <w:tcW w:w="3940" w:type="dxa"/>
            <w:vAlign w:val="center"/>
          </w:tcPr>
          <w:p>
            <w:pPr>
              <w:tabs>
                <w:tab w:val="left" w:pos="864"/>
              </w:tabs>
              <w:spacing w:line="240" w:lineRule="auto"/>
              <w:jc w:val="center"/>
              <w:rPr>
                <w:rFonts w:ascii="宋体" w:hAnsi="宋体" w:cs="宋体"/>
                <w:color w:val="000000"/>
                <w:szCs w:val="24"/>
              </w:rPr>
            </w:pPr>
            <w:r>
              <w:rPr>
                <w:rFonts w:hint="eastAsia" w:ascii="宋体" w:hAnsi="宋体" w:cs="宋体"/>
                <w:color w:val="000000"/>
                <w:szCs w:val="24"/>
              </w:rPr>
              <w:t>简要要求</w:t>
            </w:r>
          </w:p>
        </w:tc>
        <w:tc>
          <w:tcPr>
            <w:tcW w:w="1235" w:type="dxa"/>
            <w:vAlign w:val="center"/>
          </w:tcPr>
          <w:p>
            <w:pPr>
              <w:tabs>
                <w:tab w:val="left" w:pos="864"/>
              </w:tabs>
              <w:spacing w:line="240" w:lineRule="auto"/>
              <w:jc w:val="center"/>
              <w:rPr>
                <w:rFonts w:hint="eastAsia" w:ascii="宋体" w:hAnsi="宋体" w:cs="宋体"/>
                <w:szCs w:val="24"/>
              </w:rPr>
            </w:pPr>
            <w:r>
              <w:rPr>
                <w:rFonts w:hint="eastAsia" w:ascii="宋体" w:hAnsi="宋体" w:cs="宋体"/>
                <w:szCs w:val="24"/>
              </w:rPr>
              <w:t>是否允许进口产品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2063" w:type="dxa"/>
            <w:vAlign w:val="center"/>
          </w:tcPr>
          <w:p>
            <w:pPr>
              <w:spacing w:line="240" w:lineRule="auto"/>
              <w:jc w:val="center"/>
              <w:rPr>
                <w:rFonts w:hint="eastAsia" w:ascii="宋体" w:hAnsi="宋体"/>
                <w:color w:val="000000"/>
                <w:szCs w:val="24"/>
              </w:rPr>
            </w:pPr>
            <w:r>
              <w:rPr>
                <w:rFonts w:hint="eastAsia" w:ascii="宋体" w:hAnsi="宋体"/>
                <w:color w:val="000000"/>
                <w:szCs w:val="24"/>
              </w:rPr>
              <w:t>复合材料结构分析软件</w:t>
            </w:r>
          </w:p>
        </w:tc>
        <w:tc>
          <w:tcPr>
            <w:tcW w:w="1212" w:type="dxa"/>
            <w:vAlign w:val="center"/>
          </w:tcPr>
          <w:p>
            <w:pPr>
              <w:spacing w:line="240" w:lineRule="auto"/>
              <w:jc w:val="center"/>
              <w:rPr>
                <w:rFonts w:ascii="宋体" w:hAnsi="宋体" w:cs="仿宋_GB2312"/>
                <w:bCs/>
                <w:color w:val="000000"/>
                <w:szCs w:val="24"/>
              </w:rPr>
            </w:pPr>
            <w:r>
              <w:rPr>
                <w:rFonts w:hint="eastAsia" w:ascii="宋体" w:hAnsi="宋体"/>
                <w:color w:val="000000"/>
                <w:szCs w:val="24"/>
              </w:rPr>
              <w:t>80</w:t>
            </w:r>
          </w:p>
        </w:tc>
        <w:tc>
          <w:tcPr>
            <w:tcW w:w="3940" w:type="dxa"/>
            <w:vAlign w:val="center"/>
          </w:tcPr>
          <w:p>
            <w:pPr>
              <w:pStyle w:val="9"/>
              <w:rPr>
                <w:rFonts w:hint="eastAsia"/>
              </w:rPr>
            </w:pPr>
            <w:r>
              <w:rPr>
                <w:rFonts w:hint="eastAsia" w:hAnsi="宋体"/>
              </w:rPr>
              <w:t>能够实现快速参数化、模块化复合材料结构设计和分析，实现复合材料性能多尺度性能预测分析、基于统计的复合材料许用值计算、复合材料机械连接分析、复合材料壁板稳定性分析、复合材料铺层优化等功能</w:t>
            </w:r>
          </w:p>
        </w:tc>
        <w:tc>
          <w:tcPr>
            <w:tcW w:w="1235" w:type="dxa"/>
            <w:vAlign w:val="center"/>
          </w:tcPr>
          <w:p>
            <w:pPr>
              <w:spacing w:line="240" w:lineRule="auto"/>
              <w:jc w:val="center"/>
              <w:rPr>
                <w:rFonts w:hint="eastAsia" w:ascii="宋体" w:hAnsi="宋体"/>
                <w:bCs/>
                <w:color w:val="000000"/>
                <w:szCs w:val="24"/>
              </w:rPr>
            </w:pPr>
            <w:r>
              <w:rPr>
                <w:rFonts w:hint="eastAsia" w:ascii="宋体" w:hAnsi="宋体"/>
                <w:bCs/>
                <w:color w:val="000000"/>
                <w:szCs w:val="24"/>
              </w:rPr>
              <w:t>否</w:t>
            </w:r>
          </w:p>
        </w:tc>
      </w:tr>
    </w:tbl>
    <w:p>
      <w:pPr>
        <w:spacing w:line="520" w:lineRule="exact"/>
        <w:rPr>
          <w:rFonts w:hint="eastAsia" w:ascii="宋体" w:hAnsi="宋体"/>
          <w:szCs w:val="24"/>
        </w:rPr>
      </w:pPr>
      <w:r>
        <w:rPr>
          <w:rFonts w:hint="eastAsia" w:ascii="宋体" w:hAnsi="宋体"/>
          <w:szCs w:val="24"/>
        </w:rPr>
        <w:t xml:space="preserve">    备注：供应商超过本项目预算金额的报价将导致响应文件被拒绝，本项目评标、授标以包为单位。</w:t>
      </w:r>
    </w:p>
    <w:p>
      <w:pPr>
        <w:spacing w:line="520" w:lineRule="exact"/>
        <w:rPr>
          <w:rFonts w:hint="eastAsia" w:ascii="宋体" w:hAnsi="宋体"/>
          <w:szCs w:val="24"/>
        </w:rPr>
      </w:pPr>
      <w:r>
        <w:rPr>
          <w:rFonts w:hint="eastAsia" w:ascii="宋体" w:hAnsi="宋体"/>
          <w:szCs w:val="24"/>
        </w:rPr>
        <w:t xml:space="preserve">    4、投标人须以包为单位对该包中的全部内容进行投标，不得拆分，不完整的投标将被拒绝。评标、授标以包为单位。谈判文件售价：每包500元人民币，若邮购每份须另加50元人民币，售后不退。</w:t>
      </w:r>
    </w:p>
    <w:p>
      <w:pPr>
        <w:spacing w:line="520" w:lineRule="exact"/>
        <w:rPr>
          <w:rFonts w:hint="eastAsia" w:ascii="宋体" w:hAnsi="宋体"/>
          <w:szCs w:val="24"/>
        </w:rPr>
      </w:pPr>
      <w:r>
        <w:rPr>
          <w:rFonts w:hint="eastAsia" w:ascii="宋体" w:hAnsi="宋体"/>
          <w:szCs w:val="24"/>
        </w:rPr>
        <w:t xml:space="preserve">    5、购买谈判文件时间和地点：</w:t>
      </w:r>
      <w:r>
        <w:rPr>
          <w:rFonts w:hint="eastAsia"/>
          <w:color w:val="000000"/>
        </w:rPr>
        <w:t>尽量避免人员聚集性活动，本项目不进行现场出售谈判文件，仅通过公对公账户转账进行网上购买（不接受个人汇款）。谈判文件</w:t>
      </w:r>
      <w:r>
        <w:rPr>
          <w:rFonts w:hint="eastAsia"/>
          <w:color w:val="000000"/>
          <w:lang w:val="zh-TW"/>
        </w:rPr>
        <w:t>每包人民币</w:t>
      </w:r>
      <w:r>
        <w:rPr>
          <w:rFonts w:hint="eastAsia"/>
          <w:color w:val="000000"/>
        </w:rPr>
        <w:t>5</w:t>
      </w:r>
      <w:r>
        <w:rPr>
          <w:rFonts w:hint="eastAsia"/>
          <w:color w:val="000000"/>
          <w:lang w:val="zh-TW" w:eastAsia="zh-TW"/>
        </w:rPr>
        <w:t>00</w:t>
      </w:r>
      <w:r>
        <w:rPr>
          <w:rFonts w:hint="eastAsia"/>
          <w:color w:val="000000"/>
          <w:lang w:val="zh-TW"/>
        </w:rPr>
        <w:t>元。</w:t>
      </w:r>
      <w:r>
        <w:rPr>
          <w:rFonts w:hint="eastAsia"/>
          <w:color w:val="000000"/>
        </w:rPr>
        <w:t>请将汇款底单、营业执照副本扫描件、公司信息发送邮件至联系人邮箱。公司信息按照</w:t>
      </w:r>
      <w:r>
        <w:rPr>
          <w:rFonts w:hint="eastAsia"/>
          <w:color w:val="000000"/>
          <w:u w:val="single"/>
        </w:rPr>
        <w:t>附件的购买登记表</w:t>
      </w:r>
      <w:r>
        <w:rPr>
          <w:rFonts w:hint="eastAsia"/>
          <w:color w:val="000000"/>
        </w:rPr>
        <w:t>格填写。采购代理机构在收到汇款及报名邮件后会及时将谈判文件电子版发送到联系人的电子邮箱。谈判文件售后不退。</w:t>
      </w:r>
      <w:r>
        <w:rPr>
          <w:rFonts w:hint="eastAsia" w:ascii="宋体" w:hAnsi="宋体"/>
          <w:szCs w:val="24"/>
        </w:rPr>
        <w:t>2022年</w:t>
      </w:r>
      <w:r>
        <w:rPr>
          <w:rFonts w:ascii="宋体" w:hAnsi="宋体"/>
          <w:szCs w:val="24"/>
        </w:rPr>
        <w:t>7</w:t>
      </w:r>
      <w:r>
        <w:rPr>
          <w:rFonts w:hint="eastAsia" w:ascii="宋体" w:hAnsi="宋体"/>
          <w:szCs w:val="24"/>
        </w:rPr>
        <w:t>月</w:t>
      </w:r>
      <w:r>
        <w:rPr>
          <w:rFonts w:ascii="宋体" w:hAnsi="宋体"/>
          <w:szCs w:val="24"/>
        </w:rPr>
        <w:t>11</w:t>
      </w:r>
      <w:r>
        <w:rPr>
          <w:rFonts w:hint="eastAsia" w:ascii="宋体" w:hAnsi="宋体"/>
          <w:szCs w:val="24"/>
        </w:rPr>
        <w:t>日至2022年</w:t>
      </w:r>
      <w:r>
        <w:rPr>
          <w:rFonts w:ascii="宋体" w:hAnsi="宋体"/>
          <w:szCs w:val="24"/>
        </w:rPr>
        <w:t>7</w:t>
      </w:r>
      <w:r>
        <w:rPr>
          <w:rFonts w:hint="eastAsia" w:ascii="宋体" w:hAnsi="宋体"/>
          <w:szCs w:val="24"/>
        </w:rPr>
        <w:t>月1</w:t>
      </w:r>
      <w:r>
        <w:rPr>
          <w:rFonts w:ascii="宋体" w:hAnsi="宋体"/>
          <w:szCs w:val="24"/>
        </w:rPr>
        <w:t>4</w:t>
      </w:r>
      <w:r>
        <w:rPr>
          <w:rFonts w:hint="eastAsia" w:ascii="宋体" w:hAnsi="宋体"/>
          <w:szCs w:val="24"/>
        </w:rPr>
        <w:t>日（节假日除外）上午9:30至11:30，下午13:30至16:00（北京时间）。</w:t>
      </w:r>
    </w:p>
    <w:p>
      <w:pPr>
        <w:spacing w:line="520" w:lineRule="exact"/>
        <w:rPr>
          <w:rFonts w:ascii="宋体" w:hAnsi="宋体"/>
          <w:szCs w:val="24"/>
        </w:rPr>
      </w:pPr>
      <w:r>
        <w:rPr>
          <w:rFonts w:hint="eastAsia" w:ascii="宋体" w:hAnsi="宋体"/>
          <w:szCs w:val="24"/>
        </w:rPr>
        <w:t xml:space="preserve">    6、谈判应答文件递交及谈判时间和地点：</w:t>
      </w:r>
    </w:p>
    <w:p>
      <w:pPr>
        <w:spacing w:line="520" w:lineRule="exact"/>
        <w:rPr>
          <w:rFonts w:ascii="宋体" w:hAnsi="宋体"/>
          <w:szCs w:val="24"/>
        </w:rPr>
      </w:pPr>
      <w:r>
        <w:rPr>
          <w:rFonts w:hint="eastAsia" w:ascii="宋体" w:hAnsi="宋体"/>
          <w:szCs w:val="24"/>
        </w:rPr>
        <w:t xml:space="preserve">    谈判应答文件递交截止及谈判开始时间：2022年</w:t>
      </w:r>
      <w:r>
        <w:rPr>
          <w:rFonts w:ascii="宋体" w:hAnsi="宋体"/>
          <w:szCs w:val="24"/>
        </w:rPr>
        <w:t>7</w:t>
      </w:r>
      <w:r>
        <w:rPr>
          <w:rFonts w:hint="eastAsia" w:ascii="宋体" w:hAnsi="宋体"/>
          <w:szCs w:val="24"/>
        </w:rPr>
        <w:t>月1</w:t>
      </w:r>
      <w:r>
        <w:rPr>
          <w:rFonts w:ascii="宋体" w:hAnsi="宋体"/>
          <w:szCs w:val="24"/>
        </w:rPr>
        <w:t>8</w:t>
      </w:r>
      <w:r>
        <w:rPr>
          <w:rFonts w:hint="eastAsia" w:ascii="宋体" w:hAnsi="宋体"/>
          <w:szCs w:val="24"/>
        </w:rPr>
        <w:t>日上午9：30（北京时间），逾期收到或不符合规定的谈判应答文件恕不接受。</w:t>
      </w:r>
    </w:p>
    <w:p>
      <w:pPr>
        <w:spacing w:line="520" w:lineRule="exact"/>
        <w:rPr>
          <w:rFonts w:hint="eastAsia" w:ascii="宋体" w:hAnsi="宋体"/>
          <w:szCs w:val="24"/>
        </w:rPr>
      </w:pPr>
      <w:r>
        <w:rPr>
          <w:rFonts w:hint="eastAsia" w:ascii="宋体" w:hAnsi="宋体"/>
          <w:szCs w:val="24"/>
        </w:rPr>
        <w:t xml:space="preserve">    7、谈判应答文件递交及谈判地点：北京市中仪大厦30</w:t>
      </w:r>
      <w:r>
        <w:rPr>
          <w:rFonts w:ascii="宋体" w:hAnsi="宋体"/>
          <w:szCs w:val="24"/>
        </w:rPr>
        <w:t>3</w:t>
      </w:r>
      <w:r>
        <w:rPr>
          <w:rFonts w:hint="eastAsia" w:ascii="宋体" w:hAnsi="宋体"/>
          <w:szCs w:val="24"/>
        </w:rPr>
        <w:t>室（北京市西直门外大街6号中仪大厦3层30</w:t>
      </w:r>
      <w:r>
        <w:rPr>
          <w:rFonts w:ascii="宋体" w:hAnsi="宋体"/>
          <w:szCs w:val="24"/>
        </w:rPr>
        <w:t>3</w:t>
      </w:r>
      <w:r>
        <w:rPr>
          <w:rFonts w:hint="eastAsia" w:ascii="宋体" w:hAnsi="宋体"/>
          <w:szCs w:val="24"/>
        </w:rPr>
        <w:t>室）</w:t>
      </w:r>
    </w:p>
    <w:p>
      <w:pPr>
        <w:spacing w:line="520" w:lineRule="exact"/>
        <w:rPr>
          <w:rFonts w:hint="eastAsia" w:ascii="宋体" w:hAnsi="宋体"/>
          <w:szCs w:val="24"/>
        </w:rPr>
      </w:pPr>
      <w:r>
        <w:rPr>
          <w:rFonts w:hint="eastAsia" w:ascii="宋体" w:hAnsi="宋体"/>
          <w:szCs w:val="24"/>
        </w:rPr>
        <w:t xml:space="preserve">    8、合格供应商的资格条件：</w:t>
      </w:r>
    </w:p>
    <w:p>
      <w:pPr>
        <w:widowControl/>
        <w:tabs>
          <w:tab w:val="left" w:pos="-360"/>
        </w:tabs>
        <w:autoSpaceDE w:val="0"/>
        <w:autoSpaceDN w:val="0"/>
        <w:snapToGrid w:val="0"/>
        <w:spacing w:before="156" w:beforeLines="50" w:line="440" w:lineRule="exact"/>
        <w:ind w:left="444" w:leftChars="67" w:hanging="283" w:hangingChars="118"/>
        <w:textAlignment w:val="bottom"/>
        <w:rPr>
          <w:rFonts w:ascii="宋体" w:hAnsi="宋体" w:cs="仿宋_GB2312"/>
        </w:rPr>
      </w:pPr>
      <w:r>
        <w:rPr>
          <w:rFonts w:hint="eastAsia" w:ascii="宋体" w:hAnsi="宋体" w:cs="仿宋_GB2312"/>
        </w:rPr>
        <w:t>（</w:t>
      </w:r>
      <w:r>
        <w:rPr>
          <w:rFonts w:ascii="宋体" w:hAnsi="宋体" w:cs="仿宋_GB2312"/>
        </w:rPr>
        <w:t>1</w:t>
      </w:r>
      <w:r>
        <w:rPr>
          <w:rFonts w:hint="eastAsia" w:ascii="宋体" w:hAnsi="宋体" w:cs="仿宋_GB2312"/>
        </w:rPr>
        <w:t>）在中华人民共和国境内依法注册的，具有独立承担民事责任能力，遵守国家法律法规，具有良好信誉，具有履行合同能力和良好的履行合同的记录，具有良好资金、财务状况的企业法人；</w:t>
      </w:r>
    </w:p>
    <w:p>
      <w:pPr>
        <w:widowControl/>
        <w:tabs>
          <w:tab w:val="left" w:pos="-360"/>
        </w:tabs>
        <w:autoSpaceDE w:val="0"/>
        <w:autoSpaceDN w:val="0"/>
        <w:snapToGrid w:val="0"/>
        <w:spacing w:before="156" w:beforeLines="50" w:line="440" w:lineRule="exact"/>
        <w:ind w:left="444" w:leftChars="67" w:hanging="283" w:hangingChars="118"/>
        <w:textAlignment w:val="bottom"/>
        <w:rPr>
          <w:rFonts w:ascii="宋体" w:hAnsi="宋体" w:cs="仿宋_GB2312"/>
        </w:rPr>
      </w:pPr>
      <w:r>
        <w:rPr>
          <w:rFonts w:hint="eastAsia" w:ascii="宋体" w:hAnsi="宋体" w:cs="仿宋_GB2312"/>
        </w:rPr>
        <w:t>（2）投标人须符合《中华人民共和国政府采购法》第二十二条的规定；</w:t>
      </w:r>
    </w:p>
    <w:p>
      <w:pPr>
        <w:numPr>
          <w:ilvl w:val="0"/>
          <w:numId w:val="1"/>
        </w:numPr>
        <w:tabs>
          <w:tab w:val="left" w:pos="567"/>
        </w:tabs>
        <w:spacing w:line="440" w:lineRule="exact"/>
        <w:rPr>
          <w:rFonts w:hAnsi="宋体"/>
        </w:rPr>
      </w:pPr>
      <w:r>
        <w:rPr>
          <w:rFonts w:hint="eastAsia" w:hAnsi="宋体"/>
        </w:rPr>
        <w:t>具有独立承担民事责任的能力；</w:t>
      </w:r>
    </w:p>
    <w:p>
      <w:pPr>
        <w:numPr>
          <w:ilvl w:val="0"/>
          <w:numId w:val="1"/>
        </w:numPr>
        <w:tabs>
          <w:tab w:val="left" w:pos="567"/>
        </w:tabs>
        <w:spacing w:line="440" w:lineRule="exact"/>
        <w:rPr>
          <w:rFonts w:hAnsi="宋体"/>
        </w:rPr>
      </w:pPr>
      <w:r>
        <w:rPr>
          <w:rFonts w:hint="eastAsia" w:hAnsi="宋体"/>
        </w:rPr>
        <w:t>具有良好的商业信誉和健全的财务会计制度；</w:t>
      </w:r>
    </w:p>
    <w:p>
      <w:pPr>
        <w:numPr>
          <w:ilvl w:val="0"/>
          <w:numId w:val="1"/>
        </w:numPr>
        <w:tabs>
          <w:tab w:val="left" w:pos="567"/>
        </w:tabs>
        <w:spacing w:line="440" w:lineRule="exact"/>
        <w:rPr>
          <w:rFonts w:hAnsi="宋体"/>
        </w:rPr>
      </w:pPr>
      <w:r>
        <w:rPr>
          <w:rFonts w:hint="eastAsia" w:hAnsi="宋体"/>
        </w:rPr>
        <w:t>具有履行合同所必需的设备和专业服务能力；</w:t>
      </w:r>
    </w:p>
    <w:p>
      <w:pPr>
        <w:numPr>
          <w:ilvl w:val="0"/>
          <w:numId w:val="1"/>
        </w:numPr>
        <w:tabs>
          <w:tab w:val="left" w:pos="567"/>
        </w:tabs>
        <w:spacing w:line="440" w:lineRule="exact"/>
        <w:rPr>
          <w:rFonts w:hAnsi="宋体"/>
        </w:rPr>
      </w:pPr>
      <w:r>
        <w:rPr>
          <w:rFonts w:hint="eastAsia" w:hAnsi="宋体"/>
        </w:rPr>
        <w:t>有依法缴纳税收和社会保障资金的良好记录；</w:t>
      </w:r>
    </w:p>
    <w:p>
      <w:pPr>
        <w:numPr>
          <w:ilvl w:val="0"/>
          <w:numId w:val="1"/>
        </w:numPr>
        <w:tabs>
          <w:tab w:val="left" w:pos="567"/>
        </w:tabs>
        <w:spacing w:line="440" w:lineRule="exact"/>
        <w:rPr>
          <w:rFonts w:hAnsi="宋体"/>
        </w:rPr>
      </w:pPr>
      <w:r>
        <w:rPr>
          <w:rFonts w:hint="eastAsia" w:hAnsi="宋体"/>
        </w:rPr>
        <w:t>参加政府采购活动前三年内，在经营活动中没有重大违法记录；</w:t>
      </w:r>
    </w:p>
    <w:p>
      <w:pPr>
        <w:numPr>
          <w:ilvl w:val="0"/>
          <w:numId w:val="1"/>
        </w:numPr>
        <w:tabs>
          <w:tab w:val="left" w:pos="567"/>
        </w:tabs>
        <w:spacing w:line="440" w:lineRule="exact"/>
        <w:rPr>
          <w:rFonts w:hAnsi="宋体"/>
        </w:rPr>
      </w:pPr>
      <w:r>
        <w:rPr>
          <w:rFonts w:hint="eastAsia" w:hAnsi="宋体"/>
        </w:rPr>
        <w:t>法律、行政法规规定的其他条件。</w:t>
      </w:r>
    </w:p>
    <w:p>
      <w:pPr>
        <w:widowControl/>
        <w:numPr>
          <w:ilvl w:val="0"/>
          <w:numId w:val="2"/>
        </w:numPr>
        <w:spacing w:line="440" w:lineRule="exact"/>
        <w:ind w:left="444" w:leftChars="67" w:hanging="283" w:hangingChars="118"/>
      </w:pPr>
      <w:r>
        <w:rPr>
          <w:rFonts w:hint="eastAsia" w:ascii="宋体" w:hAnsi="宋体"/>
        </w:rPr>
        <w:t>供应商单位</w:t>
      </w:r>
      <w:r>
        <w:rPr>
          <w:rFonts w:ascii="宋体" w:hAnsi="宋体"/>
        </w:rPr>
        <w:t>负责人为同一人或者存在直接控股、管理关系的不同</w:t>
      </w:r>
      <w:r>
        <w:rPr>
          <w:rFonts w:hint="eastAsia" w:ascii="宋体" w:hAnsi="宋体"/>
        </w:rPr>
        <w:t>供应商</w:t>
      </w:r>
      <w:r>
        <w:rPr>
          <w:rFonts w:ascii="宋体" w:hAnsi="宋体"/>
        </w:rPr>
        <w:t>，不得参加同一合同项下的政府采购活动</w:t>
      </w:r>
      <w:r>
        <w:rPr>
          <w:rFonts w:hint="eastAsia" w:ascii="宋体" w:hAnsi="宋体" w:cs="仿宋_GB2312"/>
        </w:rPr>
        <w:t>；</w:t>
      </w:r>
      <w:r>
        <w:rPr>
          <w:rFonts w:hint="eastAsia" w:ascii="宋体" w:hAnsi="宋体" w:cs="宋体"/>
        </w:rPr>
        <w:t xml:space="preserve"> </w:t>
      </w:r>
    </w:p>
    <w:p>
      <w:pPr>
        <w:widowControl/>
        <w:numPr>
          <w:ilvl w:val="0"/>
          <w:numId w:val="2"/>
        </w:numPr>
        <w:tabs>
          <w:tab w:val="left" w:pos="-360"/>
        </w:tabs>
        <w:autoSpaceDE w:val="0"/>
        <w:autoSpaceDN w:val="0"/>
        <w:snapToGrid w:val="0"/>
        <w:spacing w:before="156" w:beforeLines="50" w:line="440" w:lineRule="exact"/>
        <w:ind w:left="444" w:leftChars="67" w:hanging="283" w:hangingChars="118"/>
        <w:textAlignment w:val="bottom"/>
        <w:rPr>
          <w:rFonts w:hint="eastAsia" w:ascii="宋体" w:hAnsi="宋体" w:cs="仿宋_GB2312"/>
        </w:rPr>
      </w:pPr>
      <w:r>
        <w:rPr>
          <w:rFonts w:hint="eastAsia" w:ascii="宋体" w:hAnsi="宋体" w:cs="仿宋_GB2312"/>
        </w:rPr>
        <w:t>按本谈判邀请公告的规定获取竞争性谈判文件；</w:t>
      </w:r>
    </w:p>
    <w:p>
      <w:pPr>
        <w:pStyle w:val="4"/>
        <w:ind w:firstLine="0" w:firstLineChars="0"/>
        <w:rPr>
          <w:rFonts w:hint="eastAsia" w:ascii="宋体" w:hAnsi="宋体" w:cs="仿宋_GB2312"/>
          <w:b w:val="0"/>
          <w:bCs w:val="0"/>
          <w:sz w:val="24"/>
          <w:szCs w:val="20"/>
        </w:rPr>
      </w:pPr>
      <w:r>
        <w:rPr>
          <w:rFonts w:hint="eastAsia" w:ascii="宋体" w:hAnsi="宋体" w:cs="仿宋_GB2312"/>
          <w:b w:val="0"/>
          <w:bCs w:val="0"/>
          <w:sz w:val="24"/>
          <w:szCs w:val="20"/>
        </w:rPr>
        <w:t xml:space="preserve">  （5）本项目不接受联合体投标；</w:t>
      </w:r>
    </w:p>
    <w:p>
      <w:pPr>
        <w:widowControl/>
        <w:tabs>
          <w:tab w:val="left" w:pos="-360"/>
        </w:tabs>
        <w:autoSpaceDE w:val="0"/>
        <w:autoSpaceDN w:val="0"/>
        <w:snapToGrid w:val="0"/>
        <w:spacing w:line="520" w:lineRule="exact"/>
        <w:textAlignment w:val="bottom"/>
        <w:rPr>
          <w:rFonts w:hint="eastAsia" w:ascii="宋体" w:hAnsi="宋体"/>
          <w:szCs w:val="24"/>
        </w:rPr>
      </w:pPr>
      <w:r>
        <w:rPr>
          <w:rFonts w:hint="eastAsia" w:ascii="宋体" w:hAnsi="宋体" w:cs="仿宋_GB2312"/>
          <w:szCs w:val="24"/>
        </w:rPr>
        <w:t xml:space="preserve">    9、</w:t>
      </w:r>
      <w:r>
        <w:rPr>
          <w:rFonts w:hint="eastAsia" w:ascii="宋体" w:hAnsi="宋体"/>
          <w:szCs w:val="24"/>
        </w:rPr>
        <w:t>采购人信息</w:t>
      </w:r>
    </w:p>
    <w:p>
      <w:pPr>
        <w:spacing w:line="520" w:lineRule="exact"/>
        <w:rPr>
          <w:rFonts w:hint="eastAsia" w:ascii="宋体" w:hAnsi="宋体"/>
          <w:szCs w:val="24"/>
        </w:rPr>
      </w:pPr>
      <w:r>
        <w:rPr>
          <w:rFonts w:hint="eastAsia" w:ascii="宋体" w:hAnsi="宋体"/>
          <w:szCs w:val="24"/>
        </w:rPr>
        <w:t>采购人：中国特种设备检测研究院</w:t>
      </w:r>
    </w:p>
    <w:p>
      <w:pPr>
        <w:spacing w:line="520" w:lineRule="exact"/>
        <w:rPr>
          <w:rFonts w:hint="eastAsia" w:ascii="宋体" w:hAnsi="宋体"/>
          <w:szCs w:val="24"/>
        </w:rPr>
      </w:pPr>
      <w:r>
        <w:rPr>
          <w:rFonts w:hint="eastAsia" w:ascii="宋体" w:hAnsi="宋体"/>
          <w:szCs w:val="24"/>
        </w:rPr>
        <w:t>采购人地址：</w:t>
      </w:r>
      <w:r>
        <w:rPr>
          <w:rFonts w:hint="eastAsia" w:ascii="宋体" w:hAnsi="宋体" w:cs="宋体"/>
          <w:color w:val="000000"/>
        </w:rPr>
        <w:t>北京市朝阳区和平街西苑2号</w:t>
      </w:r>
    </w:p>
    <w:p>
      <w:pPr>
        <w:spacing w:line="520" w:lineRule="exact"/>
        <w:rPr>
          <w:rFonts w:hint="eastAsia" w:ascii="宋体" w:hAnsi="宋体"/>
          <w:szCs w:val="24"/>
        </w:rPr>
      </w:pPr>
      <w:r>
        <w:rPr>
          <w:rFonts w:hint="eastAsia" w:ascii="宋体" w:hAnsi="宋体" w:cs="宋体"/>
          <w:szCs w:val="24"/>
        </w:rPr>
        <w:t>采购人联系方式：邓老师 15101128587</w:t>
      </w:r>
      <w:r>
        <w:rPr>
          <w:rFonts w:hint="eastAsia" w:ascii="宋体" w:hAnsi="宋体" w:cs="宋体"/>
        </w:rPr>
        <w:t xml:space="preserve"> </w:t>
      </w:r>
    </w:p>
    <w:p>
      <w:pPr>
        <w:spacing w:line="520" w:lineRule="exact"/>
        <w:rPr>
          <w:rFonts w:hint="eastAsia" w:ascii="宋体" w:hAnsi="宋体"/>
          <w:szCs w:val="24"/>
        </w:rPr>
      </w:pPr>
      <w:r>
        <w:rPr>
          <w:rFonts w:hint="eastAsia" w:ascii="宋体" w:hAnsi="宋体"/>
          <w:szCs w:val="24"/>
        </w:rPr>
        <w:t xml:space="preserve">    10、招标代理机构：</w:t>
      </w:r>
    </w:p>
    <w:p>
      <w:pPr>
        <w:spacing w:line="520" w:lineRule="exact"/>
        <w:rPr>
          <w:rFonts w:hint="eastAsia" w:ascii="宋体" w:hAnsi="宋体"/>
          <w:szCs w:val="24"/>
        </w:rPr>
      </w:pPr>
      <w:r>
        <w:rPr>
          <w:rFonts w:hint="eastAsia" w:ascii="宋体" w:hAnsi="宋体"/>
          <w:szCs w:val="24"/>
        </w:rPr>
        <w:t xml:space="preserve">中国仪器进出口集团有限公司 </w:t>
      </w:r>
    </w:p>
    <w:p>
      <w:pPr>
        <w:spacing w:line="520" w:lineRule="exact"/>
        <w:rPr>
          <w:rFonts w:hint="eastAsia" w:ascii="宋体" w:hAnsi="宋体"/>
          <w:szCs w:val="24"/>
        </w:rPr>
      </w:pPr>
      <w:r>
        <w:rPr>
          <w:rFonts w:hint="eastAsia" w:ascii="宋体" w:hAnsi="宋体"/>
          <w:szCs w:val="24"/>
        </w:rPr>
        <w:t>地　　址：北京市西直门外大街6号中仪大厦915室</w:t>
      </w:r>
    </w:p>
    <w:p>
      <w:pPr>
        <w:spacing w:line="520" w:lineRule="exact"/>
        <w:rPr>
          <w:rFonts w:hint="eastAsia" w:ascii="宋体" w:hAnsi="宋体"/>
          <w:szCs w:val="24"/>
        </w:rPr>
      </w:pPr>
      <w:r>
        <w:rPr>
          <w:rFonts w:hint="eastAsia" w:ascii="宋体" w:hAnsi="宋体"/>
          <w:szCs w:val="24"/>
        </w:rPr>
        <w:t xml:space="preserve">邮　　编：100044  </w:t>
      </w:r>
    </w:p>
    <w:p>
      <w:pPr>
        <w:spacing w:line="520" w:lineRule="exact"/>
        <w:rPr>
          <w:rFonts w:hint="eastAsia" w:ascii="宋体" w:hAnsi="宋体"/>
          <w:szCs w:val="24"/>
        </w:rPr>
      </w:pPr>
      <w:r>
        <w:rPr>
          <w:rFonts w:hint="eastAsia" w:ascii="宋体" w:hAnsi="宋体"/>
          <w:szCs w:val="24"/>
        </w:rPr>
        <w:t>电　　话：</w:t>
      </w:r>
      <w:r>
        <w:rPr>
          <w:rFonts w:hint="eastAsia" w:ascii="宋体" w:hAnsi="宋体" w:cs="宋体"/>
          <w:color w:val="000000"/>
          <w:szCs w:val="24"/>
        </w:rPr>
        <w:t>010-88316617/6995/6620</w:t>
      </w:r>
    </w:p>
    <w:p>
      <w:pPr>
        <w:spacing w:line="520" w:lineRule="exact"/>
        <w:rPr>
          <w:rFonts w:hint="eastAsia" w:ascii="宋体" w:hAnsi="宋体"/>
          <w:szCs w:val="24"/>
        </w:rPr>
      </w:pPr>
      <w:r>
        <w:rPr>
          <w:rFonts w:hint="eastAsia" w:ascii="宋体" w:hAnsi="宋体"/>
          <w:szCs w:val="24"/>
        </w:rPr>
        <w:t>传　　真：88316601</w:t>
      </w:r>
    </w:p>
    <w:p>
      <w:pPr>
        <w:spacing w:line="520" w:lineRule="exact"/>
        <w:rPr>
          <w:rFonts w:hint="eastAsia"/>
        </w:rPr>
      </w:pPr>
      <w:r>
        <w:rPr>
          <w:rFonts w:hint="eastAsia" w:ascii="宋体" w:hAnsi="宋体"/>
          <w:szCs w:val="24"/>
        </w:rPr>
        <w:t>电子信箱：</w:t>
      </w:r>
      <w:r>
        <w:fldChar w:fldCharType="begin"/>
      </w:r>
      <w:r>
        <w:instrText xml:space="preserve"> HYPERLINK "mailto:wangjian@cnic.genertec.com.cn" </w:instrText>
      </w:r>
      <w:r>
        <w:fldChar w:fldCharType="separate"/>
      </w:r>
      <w:r>
        <w:rPr>
          <w:rFonts w:hint="eastAsia" w:ascii="宋体" w:hAnsi="宋体" w:cs="宋体"/>
          <w:color w:val="000000"/>
          <w:szCs w:val="24"/>
        </w:rPr>
        <w:t>wangjian32@cnic.gt.cn</w:t>
      </w:r>
      <w:r>
        <w:rPr>
          <w:rFonts w:hint="eastAsia" w:ascii="宋体" w:hAnsi="宋体" w:cs="宋体"/>
          <w:color w:val="000000"/>
          <w:szCs w:val="24"/>
        </w:rPr>
        <w:fldChar w:fldCharType="end"/>
      </w:r>
      <w:r>
        <w:rPr>
          <w:rFonts w:hint="eastAsia" w:ascii="宋体" w:hAnsi="宋体" w:cs="宋体"/>
          <w:color w:val="000000"/>
          <w:szCs w:val="24"/>
        </w:rPr>
        <w:t xml:space="preserve"> / </w:t>
      </w:r>
      <w:r>
        <w:fldChar w:fldCharType="begin"/>
      </w:r>
      <w:r>
        <w:instrText xml:space="preserve"> HYPERLINK "mailto:hanyidi@cinc.genertec.com.cn" </w:instrText>
      </w:r>
      <w:r>
        <w:fldChar w:fldCharType="separate"/>
      </w:r>
      <w:r>
        <w:rPr>
          <w:rFonts w:hint="eastAsia" w:ascii="宋体" w:hAnsi="宋体" w:cs="宋体"/>
          <w:color w:val="000000"/>
          <w:szCs w:val="24"/>
        </w:rPr>
        <w:t>limeng16@cnic.gt.cn</w:t>
      </w:r>
      <w:r>
        <w:rPr>
          <w:rFonts w:hint="eastAsia" w:ascii="宋体" w:hAnsi="宋体" w:cs="宋体"/>
          <w:color w:val="000000"/>
          <w:szCs w:val="24"/>
        </w:rPr>
        <w:fldChar w:fldCharType="end"/>
      </w:r>
    </w:p>
    <w:p>
      <w:pPr>
        <w:spacing w:line="520" w:lineRule="exact"/>
        <w:rPr>
          <w:rFonts w:hint="eastAsia" w:ascii="宋体" w:hAnsi="宋体"/>
          <w:szCs w:val="24"/>
        </w:rPr>
      </w:pPr>
      <w:r>
        <w:rPr>
          <w:rFonts w:hint="eastAsia" w:ascii="宋体" w:hAnsi="宋体"/>
          <w:szCs w:val="24"/>
        </w:rPr>
        <w:t>联</w:t>
      </w:r>
      <w:r>
        <w:rPr>
          <w:rFonts w:ascii="宋体" w:hAnsi="宋体"/>
          <w:szCs w:val="24"/>
        </w:rPr>
        <w:t xml:space="preserve"> </w:t>
      </w:r>
      <w:r>
        <w:rPr>
          <w:rFonts w:hint="eastAsia" w:ascii="宋体" w:hAnsi="宋体"/>
          <w:szCs w:val="24"/>
        </w:rPr>
        <w:t>系</w:t>
      </w:r>
      <w:r>
        <w:rPr>
          <w:rFonts w:ascii="宋体" w:hAnsi="宋体"/>
          <w:szCs w:val="24"/>
        </w:rPr>
        <w:t xml:space="preserve"> </w:t>
      </w:r>
      <w:r>
        <w:rPr>
          <w:rFonts w:hint="eastAsia" w:ascii="宋体" w:hAnsi="宋体"/>
          <w:szCs w:val="24"/>
        </w:rPr>
        <w:t>人：</w:t>
      </w:r>
      <w:r>
        <w:rPr>
          <w:rFonts w:hint="eastAsia" w:ascii="宋体" w:hAnsi="宋体" w:cs="宋体"/>
          <w:color w:val="000000"/>
          <w:szCs w:val="24"/>
        </w:rPr>
        <w:t>王女士/李女士/韩女士</w:t>
      </w:r>
    </w:p>
    <w:p>
      <w:pPr>
        <w:spacing w:line="520" w:lineRule="exact"/>
        <w:rPr>
          <w:rFonts w:hint="eastAsia" w:ascii="宋体" w:hAnsi="宋体"/>
          <w:szCs w:val="24"/>
        </w:rPr>
      </w:pPr>
      <w:r>
        <w:rPr>
          <w:rFonts w:hint="eastAsia" w:ascii="宋体" w:hAnsi="宋体"/>
          <w:szCs w:val="24"/>
        </w:rPr>
        <w:t xml:space="preserve">    11、银行信息</w:t>
      </w:r>
    </w:p>
    <w:p>
      <w:pPr>
        <w:spacing w:line="520" w:lineRule="exact"/>
        <w:rPr>
          <w:rFonts w:hint="eastAsia" w:ascii="宋体" w:hAnsi="宋体"/>
          <w:szCs w:val="24"/>
        </w:rPr>
      </w:pPr>
      <w:r>
        <w:rPr>
          <w:rFonts w:hint="eastAsia" w:ascii="宋体" w:hAnsi="宋体"/>
          <w:szCs w:val="24"/>
        </w:rPr>
        <w:t>开户名（全称）：中国仪器进出口集团有限公司</w:t>
      </w:r>
    </w:p>
    <w:p>
      <w:pPr>
        <w:spacing w:line="520" w:lineRule="exact"/>
        <w:rPr>
          <w:rFonts w:hint="eastAsia" w:ascii="宋体" w:hAnsi="宋体"/>
          <w:szCs w:val="24"/>
        </w:rPr>
      </w:pPr>
      <w:r>
        <w:rPr>
          <w:rFonts w:hint="eastAsia" w:ascii="宋体" w:hAnsi="宋体"/>
          <w:szCs w:val="24"/>
        </w:rPr>
        <w:t>开户银行：　中国银行总行营业部</w:t>
      </w:r>
    </w:p>
    <w:p>
      <w:pPr>
        <w:spacing w:line="520" w:lineRule="exact"/>
        <w:rPr>
          <w:rFonts w:hint="eastAsia" w:ascii="宋体" w:hAnsi="宋体"/>
          <w:szCs w:val="24"/>
        </w:rPr>
      </w:pPr>
      <w:r>
        <w:rPr>
          <w:rFonts w:hint="eastAsia" w:ascii="宋体" w:hAnsi="宋体"/>
          <w:szCs w:val="24"/>
        </w:rPr>
        <w:t>帐    号：</w:t>
      </w:r>
      <w:r>
        <w:rPr>
          <w:rFonts w:ascii="宋体" w:hAnsi="宋体"/>
          <w:szCs w:val="24"/>
        </w:rPr>
        <w:t xml:space="preserve"> </w:t>
      </w:r>
      <w:r>
        <w:rPr>
          <w:rFonts w:hint="eastAsia" w:ascii="宋体" w:hAnsi="宋体"/>
          <w:szCs w:val="24"/>
        </w:rPr>
        <w:t xml:space="preserve"> 778350008791</w:t>
      </w:r>
    </w:p>
    <w:p>
      <w:pPr>
        <w:spacing w:line="520" w:lineRule="exact"/>
        <w:rPr>
          <w:rFonts w:ascii="宋体" w:hAnsi="宋体" w:cs="仿宋_GB2312"/>
          <w:color w:val="000000"/>
        </w:rPr>
      </w:pPr>
      <w:r>
        <w:rPr>
          <w:rFonts w:hint="eastAsia" w:ascii="宋体" w:hAnsi="宋体" w:cs="仿宋_GB2312"/>
          <w:color w:val="000000"/>
        </w:rPr>
        <w:t>备注：以电汇方式购买谈判文件、递交谈判保证金、支付成交服务费须在电汇凭据附言栏中写明采购编号及用途。</w:t>
      </w:r>
    </w:p>
    <w:p>
      <w:pPr>
        <w:spacing w:line="480" w:lineRule="exact"/>
        <w:rPr>
          <w:rFonts w:hint="eastAsia" w:ascii="宋体" w:hAnsi="宋体"/>
          <w:szCs w:val="24"/>
        </w:rPr>
      </w:pPr>
    </w:p>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Bookman Old Style">
    <w:panose1 w:val="02050604050505020204"/>
    <w:charset w:val="00"/>
    <w:family w:val="roman"/>
    <w:pitch w:val="default"/>
    <w:sig w:usb0="00000287" w:usb1="00000000" w:usb2="00000000" w:usb3="00000000" w:csb0="2000009F" w:csb1="DFD70000"/>
  </w:font>
  <w:font w:name="Arial">
    <w:panose1 w:val="020B0604020202020204"/>
    <w:charset w:val="00"/>
    <w:family w:val="swiss"/>
    <w:pitch w:val="default"/>
    <w:sig w:usb0="E0002EFF" w:usb1="C000785B" w:usb2="00000009" w:usb3="00000000" w:csb0="400001FF" w:csb1="FFFF0000"/>
  </w:font>
  <w:font w:name="仿宋_GB2312">
    <w:altName w:val="仿宋"/>
    <w:panose1 w:val="00000000000000000000"/>
    <w:charset w:val="00"/>
    <w:family w:val="roma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41"/>
    <w:multiLevelType w:val="multilevel"/>
    <w:tmpl w:val="00000041"/>
    <w:lvl w:ilvl="0" w:tentative="0">
      <w:start w:val="1"/>
      <w:numFmt w:val="lowerLetter"/>
      <w:lvlText w:val="%1."/>
      <w:lvlJc w:val="left"/>
      <w:pPr>
        <w:ind w:left="1068" w:hanging="360"/>
      </w:pPr>
      <w:rPr>
        <w:rFonts w:hint="eastAsia"/>
      </w:rPr>
    </w:lvl>
    <w:lvl w:ilvl="1" w:tentative="0">
      <w:start w:val="1"/>
      <w:numFmt w:val="lowerLetter"/>
      <w:lvlText w:val="%2)"/>
      <w:lvlJc w:val="left"/>
      <w:pPr>
        <w:ind w:left="1548" w:hanging="420"/>
      </w:pPr>
    </w:lvl>
    <w:lvl w:ilvl="2" w:tentative="0">
      <w:start w:val="1"/>
      <w:numFmt w:val="lowerRoman"/>
      <w:lvlText w:val="%3."/>
      <w:lvlJc w:val="right"/>
      <w:pPr>
        <w:ind w:left="1968" w:hanging="420"/>
      </w:pPr>
    </w:lvl>
    <w:lvl w:ilvl="3" w:tentative="0">
      <w:start w:val="1"/>
      <w:numFmt w:val="decimal"/>
      <w:lvlText w:val="%4."/>
      <w:lvlJc w:val="left"/>
      <w:pPr>
        <w:ind w:left="2388" w:hanging="420"/>
      </w:pPr>
    </w:lvl>
    <w:lvl w:ilvl="4" w:tentative="0">
      <w:start w:val="1"/>
      <w:numFmt w:val="lowerLetter"/>
      <w:lvlText w:val="%5)"/>
      <w:lvlJc w:val="left"/>
      <w:pPr>
        <w:ind w:left="2808" w:hanging="420"/>
      </w:pPr>
    </w:lvl>
    <w:lvl w:ilvl="5" w:tentative="0">
      <w:start w:val="1"/>
      <w:numFmt w:val="lowerRoman"/>
      <w:lvlText w:val="%6."/>
      <w:lvlJc w:val="right"/>
      <w:pPr>
        <w:ind w:left="3228" w:hanging="420"/>
      </w:pPr>
    </w:lvl>
    <w:lvl w:ilvl="6" w:tentative="0">
      <w:start w:val="1"/>
      <w:numFmt w:val="decimal"/>
      <w:lvlText w:val="%7."/>
      <w:lvlJc w:val="left"/>
      <w:pPr>
        <w:ind w:left="3648" w:hanging="420"/>
      </w:pPr>
    </w:lvl>
    <w:lvl w:ilvl="7" w:tentative="0">
      <w:start w:val="1"/>
      <w:numFmt w:val="lowerLetter"/>
      <w:lvlText w:val="%8)"/>
      <w:lvlJc w:val="left"/>
      <w:pPr>
        <w:ind w:left="4068" w:hanging="420"/>
      </w:pPr>
    </w:lvl>
    <w:lvl w:ilvl="8" w:tentative="0">
      <w:start w:val="1"/>
      <w:numFmt w:val="lowerRoman"/>
      <w:lvlText w:val="%9."/>
      <w:lvlJc w:val="right"/>
      <w:pPr>
        <w:ind w:left="4488" w:hanging="420"/>
      </w:pPr>
    </w:lvl>
  </w:abstractNum>
  <w:abstractNum w:abstractNumId="1">
    <w:nsid w:val="5EFB2033"/>
    <w:multiLevelType w:val="singleLevel"/>
    <w:tmpl w:val="5EFB2033"/>
    <w:lvl w:ilvl="0" w:tentative="0">
      <w:start w:val="3"/>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4CE"/>
    <w:rsid w:val="00500E77"/>
    <w:rsid w:val="006854CE"/>
    <w:rsid w:val="29880A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Times New Roman" w:hAnsi="Times New Roman" w:eastAsia="宋体" w:cs="Times New Roman"/>
      <w:kern w:val="0"/>
      <w:sz w:val="24"/>
      <w:szCs w:val="20"/>
      <w:lang w:val="en-US" w:eastAsia="zh-CN" w:bidi="ar-SA"/>
    </w:rPr>
  </w:style>
  <w:style w:type="paragraph" w:styleId="3">
    <w:name w:val="heading 1"/>
    <w:basedOn w:val="1"/>
    <w:next w:val="1"/>
    <w:link w:val="7"/>
    <w:qFormat/>
    <w:uiPriority w:val="0"/>
    <w:pPr>
      <w:keepNext/>
      <w:adjustRightInd/>
      <w:spacing w:line="240" w:lineRule="auto"/>
      <w:jc w:val="both"/>
      <w:textAlignment w:val="auto"/>
      <w:outlineLvl w:val="0"/>
    </w:pPr>
    <w:rPr>
      <w:rFonts w:ascii="Bookman Old Style" w:hAnsi="Bookman Old Style"/>
      <w:b/>
      <w:spacing w:val="-6"/>
      <w:kern w:val="2"/>
      <w:lang w:val="en-GB"/>
    </w:rPr>
  </w:style>
  <w:style w:type="paragraph" w:styleId="4">
    <w:name w:val="heading 2"/>
    <w:basedOn w:val="1"/>
    <w:next w:val="1"/>
    <w:link w:val="8"/>
    <w:qFormat/>
    <w:uiPriority w:val="0"/>
    <w:pPr>
      <w:keepNext/>
      <w:ind w:firstLine="211" w:firstLineChars="100"/>
      <w:outlineLvl w:val="1"/>
    </w:pPr>
    <w:rPr>
      <w:rFonts w:ascii="Arial" w:hAnsi="Arial" w:cs="Arial"/>
      <w:b/>
      <w:bCs/>
      <w:sz w:val="21"/>
      <w:szCs w:val="18"/>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ody Text"/>
    <w:basedOn w:val="1"/>
    <w:link w:val="10"/>
    <w:semiHidden/>
    <w:unhideWhenUsed/>
    <w:uiPriority w:val="99"/>
    <w:pPr>
      <w:spacing w:after="120"/>
    </w:pPr>
  </w:style>
  <w:style w:type="character" w:customStyle="1" w:styleId="7">
    <w:name w:val="标题 1 字符"/>
    <w:basedOn w:val="6"/>
    <w:link w:val="3"/>
    <w:uiPriority w:val="0"/>
    <w:rPr>
      <w:rFonts w:ascii="Bookman Old Style" w:hAnsi="Bookman Old Style" w:eastAsia="宋体" w:cs="Times New Roman"/>
      <w:b/>
      <w:spacing w:val="-6"/>
      <w:sz w:val="24"/>
      <w:szCs w:val="20"/>
      <w:lang w:val="en-GB"/>
    </w:rPr>
  </w:style>
  <w:style w:type="character" w:customStyle="1" w:styleId="8">
    <w:name w:val="标题 2 字符"/>
    <w:basedOn w:val="6"/>
    <w:link w:val="4"/>
    <w:uiPriority w:val="0"/>
    <w:rPr>
      <w:rFonts w:ascii="Arial" w:hAnsi="Arial" w:eastAsia="宋体" w:cs="Arial"/>
      <w:b/>
      <w:bCs/>
      <w:kern w:val="0"/>
      <w:szCs w:val="18"/>
    </w:rPr>
  </w:style>
  <w:style w:type="paragraph" w:customStyle="1" w:styleId="9">
    <w:name w:val="Default"/>
    <w:uiPriority w:val="0"/>
    <w:pPr>
      <w:widowControl w:val="0"/>
      <w:autoSpaceDE w:val="0"/>
      <w:autoSpaceDN w:val="0"/>
      <w:adjustRightInd w:val="0"/>
    </w:pPr>
    <w:rPr>
      <w:rFonts w:ascii="宋体" w:hAnsi="Times New Roman" w:eastAsia="宋体" w:cs="Times New Roman"/>
      <w:color w:val="000000"/>
      <w:kern w:val="0"/>
      <w:sz w:val="24"/>
      <w:szCs w:val="24"/>
      <w:lang w:val="en-US" w:eastAsia="zh-CN" w:bidi="ar-SA"/>
    </w:rPr>
  </w:style>
  <w:style w:type="character" w:customStyle="1" w:styleId="10">
    <w:name w:val="正文文本 字符"/>
    <w:basedOn w:val="6"/>
    <w:link w:val="2"/>
    <w:semiHidden/>
    <w:uiPriority w:val="99"/>
    <w:rPr>
      <w:rFonts w:ascii="Times New Roman" w:hAnsi="Times New Roman" w:eastAsia="宋体" w:cs="Times New Roman"/>
      <w:kern w:val="0"/>
      <w:sz w:val="24"/>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247</Words>
  <Characters>1412</Characters>
  <Lines>11</Lines>
  <Paragraphs>3</Paragraphs>
  <TotalTime>1</TotalTime>
  <ScaleCrop>false</ScaleCrop>
  <LinksUpToDate>false</LinksUpToDate>
  <CharactersWithSpaces>1656</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2022-07-11T05:05:00Z</dcterms:created>
  <dc:creator>wang jian</dc:creator>
  <cp:lastModifiedBy>baeklove04</cp:lastModifiedBy>
  <dcterms:modified xsi:type="dcterms:W3CDTF">2022-07-11T11:31:40Z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EB872424BB264B66887A06B547286B23</vt:lpwstr>
  </property>
</Properties>
</file>