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spacing w:before="120" w:beforeLines="50" w:after="120" w:afterLines="50" w:line="360" w:lineRule="auto"/>
        <w:jc w:val="center"/>
        <w:rPr>
          <w:rFonts w:ascii="宋体" w:hAnsi="宋体" w:cs="宋体"/>
          <w:sz w:val="28"/>
          <w:szCs w:val="21"/>
        </w:rPr>
      </w:pPr>
      <w:bookmarkStart w:id="3" w:name="_GoBack"/>
      <w:bookmarkEnd w:id="3"/>
      <w:bookmarkStart w:id="0" w:name="_Toc22402"/>
      <w:bookmarkStart w:id="1" w:name="_Toc32395"/>
      <w:bookmarkStart w:id="2" w:name="_Toc520382020"/>
      <w:r>
        <w:rPr>
          <w:rFonts w:hint="eastAsia" w:ascii="宋体" w:hAnsi="宋体" w:cs="宋体"/>
          <w:sz w:val="28"/>
          <w:szCs w:val="28"/>
        </w:rPr>
        <w:t>货物需求一览表及技术规格</w:t>
      </w:r>
      <w:bookmarkEnd w:id="0"/>
      <w:bookmarkEnd w:id="1"/>
      <w:bookmarkEnd w:id="2"/>
    </w:p>
    <w:p>
      <w:pPr>
        <w:spacing w:before="120" w:beforeLines="50" w:after="120" w:afterLines="50" w:line="360" w:lineRule="auto"/>
        <w:rPr>
          <w:rFonts w:hint="eastAsia" w:ascii="宋体" w:hAnsi="宋体" w:cs="宋体"/>
          <w:sz w:val="22"/>
          <w:szCs w:val="21"/>
        </w:rPr>
      </w:pPr>
      <w:r>
        <w:rPr>
          <w:rFonts w:hint="eastAsia" w:ascii="宋体" w:hAnsi="宋体" w:cs="宋体"/>
          <w:sz w:val="22"/>
          <w:szCs w:val="21"/>
        </w:rPr>
        <w:t>注：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sz w:val="22"/>
          <w:szCs w:val="21"/>
        </w:rPr>
      </w:pPr>
      <w:r>
        <w:rPr>
          <w:rFonts w:hint="eastAsia" w:ascii="宋体" w:hAnsi="宋体" w:cs="宋体"/>
          <w:sz w:val="22"/>
          <w:szCs w:val="21"/>
        </w:rPr>
        <w:t>1、本章所有商务、技术要求如未要求提供相关证明材料，则只须在投标文件商务技术册附件5（技术规格偏离表）、附件6（商务条款偏离表）中列明是否偏离。实质性条款必须无偏离或正偏离，未写明是否偏离或响应为负偏离，将导致其投标被拒绝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sz w:val="22"/>
          <w:szCs w:val="21"/>
        </w:rPr>
      </w:pPr>
      <w:r>
        <w:rPr>
          <w:rFonts w:hint="eastAsia" w:ascii="宋体" w:hAnsi="宋体" w:cs="宋体"/>
          <w:sz w:val="22"/>
          <w:szCs w:val="21"/>
        </w:rPr>
        <w:t>2、带“*”条款为实质性指标（如有），</w:t>
      </w:r>
      <w:r>
        <w:rPr>
          <w:rFonts w:hint="eastAsia" w:ascii="宋体" w:hAnsi="宋体" w:cs="宋体"/>
          <w:sz w:val="22"/>
          <w:szCs w:val="21"/>
          <w:lang w:eastAsia="zh-Hans"/>
        </w:rPr>
        <w:t>不允许</w:t>
      </w:r>
      <w:r>
        <w:rPr>
          <w:rFonts w:hint="eastAsia" w:ascii="宋体" w:hAnsi="宋体" w:cs="宋体"/>
          <w:sz w:val="22"/>
          <w:szCs w:val="21"/>
        </w:rPr>
        <w:t>负</w:t>
      </w:r>
      <w:r>
        <w:rPr>
          <w:rFonts w:hint="eastAsia" w:ascii="宋体" w:hAnsi="宋体" w:cs="宋体"/>
          <w:sz w:val="22"/>
          <w:szCs w:val="21"/>
          <w:lang w:eastAsia="zh-Hans"/>
        </w:rPr>
        <w:t>偏离</w:t>
      </w:r>
      <w:r>
        <w:rPr>
          <w:rFonts w:hint="eastAsia" w:ascii="宋体" w:hAnsi="宋体" w:cs="宋体"/>
          <w:sz w:val="22"/>
          <w:szCs w:val="21"/>
        </w:rPr>
        <w:t>，</w:t>
      </w:r>
      <w:r>
        <w:rPr>
          <w:rFonts w:hint="eastAsia" w:ascii="宋体" w:hAnsi="宋体" w:cs="宋体"/>
          <w:sz w:val="22"/>
          <w:szCs w:val="21"/>
          <w:lang w:eastAsia="zh-Hans"/>
        </w:rPr>
        <w:t>如有</w:t>
      </w:r>
      <w:r>
        <w:rPr>
          <w:rFonts w:hint="eastAsia" w:ascii="宋体" w:hAnsi="宋体" w:cs="宋体"/>
          <w:sz w:val="22"/>
          <w:szCs w:val="21"/>
        </w:rPr>
        <w:t>负</w:t>
      </w:r>
      <w:r>
        <w:rPr>
          <w:rFonts w:hint="eastAsia" w:ascii="宋体" w:hAnsi="宋体" w:cs="宋体"/>
          <w:sz w:val="22"/>
          <w:szCs w:val="21"/>
          <w:lang w:eastAsia="zh-Hans"/>
        </w:rPr>
        <w:t>偏离，</w:t>
      </w:r>
      <w:r>
        <w:rPr>
          <w:rFonts w:hint="eastAsia" w:ascii="宋体" w:hAnsi="宋体" w:cs="宋体"/>
          <w:sz w:val="22"/>
          <w:szCs w:val="21"/>
        </w:rPr>
        <w:t>视为非实质性响应招标文件，</w:t>
      </w:r>
      <w:r>
        <w:rPr>
          <w:rFonts w:hint="eastAsia" w:ascii="宋体" w:hAnsi="宋体" w:cs="宋体"/>
          <w:sz w:val="22"/>
          <w:szCs w:val="21"/>
          <w:lang w:eastAsia="zh-Hans"/>
        </w:rPr>
        <w:t>其投标将被拒绝</w:t>
      </w:r>
      <w:r>
        <w:rPr>
          <w:rFonts w:hint="eastAsia" w:ascii="宋体" w:hAnsi="宋体" w:cs="宋体"/>
          <w:sz w:val="22"/>
          <w:szCs w:val="21"/>
        </w:rPr>
        <w:t>。</w:t>
      </w:r>
    </w:p>
    <w:p>
      <w:pPr>
        <w:spacing w:before="120" w:beforeLines="50" w:after="120" w:afterLines="50" w:line="360" w:lineRule="auto"/>
        <w:rPr>
          <w:rFonts w:ascii="宋体" w:hAnsi="宋体" w:cs="宋体"/>
          <w:sz w:val="22"/>
          <w:szCs w:val="21"/>
        </w:rPr>
      </w:pPr>
      <w:r>
        <w:rPr>
          <w:rFonts w:hint="eastAsia" w:ascii="宋体" w:hAnsi="宋体" w:cs="宋体"/>
          <w:sz w:val="22"/>
          <w:szCs w:val="21"/>
        </w:rPr>
        <w:t>3、</w:t>
      </w:r>
      <w:r>
        <w:rPr>
          <w:rFonts w:hint="eastAsia"/>
          <w:szCs w:val="22"/>
        </w:rPr>
        <w:t>“</w:t>
      </w:r>
      <w:r>
        <w:rPr>
          <w:rFonts w:hint="eastAsia" w:ascii="宋体" w:hAnsi="宋体" w:cs="宋体"/>
          <w:szCs w:val="21"/>
        </w:rPr>
        <w:t>▲</w:t>
      </w:r>
      <w:r>
        <w:rPr>
          <w:rFonts w:hint="eastAsia"/>
          <w:szCs w:val="22"/>
        </w:rPr>
        <w:t>”条款为重点指标，需要按照要求提供证明材料。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sz w:val="22"/>
          <w:szCs w:val="21"/>
        </w:rPr>
      </w:pPr>
      <w:r>
        <w:rPr>
          <w:rFonts w:hint="eastAsia" w:ascii="宋体" w:hAnsi="宋体" w:cs="宋体"/>
          <w:b/>
          <w:bCs/>
          <w:sz w:val="22"/>
          <w:szCs w:val="21"/>
        </w:rPr>
        <w:t>（一）采购标的需实现的功能或者目标，为落实政府采购政策需满足的要求</w:t>
      </w:r>
    </w:p>
    <w:p>
      <w:pPr>
        <w:numPr>
          <w:ilvl w:val="0"/>
          <w:numId w:val="1"/>
        </w:numPr>
        <w:spacing w:before="120" w:beforeLines="50" w:after="120" w:afterLines="50" w:line="360" w:lineRule="auto"/>
        <w:ind w:firstLine="42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采购标的实现的功能或者目标</w:t>
      </w:r>
    </w:p>
    <w:p>
      <w:pPr>
        <w:spacing w:before="120" w:beforeLines="50" w:after="120" w:afterLines="50" w:line="360" w:lineRule="auto"/>
        <w:ind w:firstLine="420" w:firstLineChars="200"/>
        <w:jc w:val="left"/>
        <w:rPr>
          <w:rFonts w:hint="eastAsia"/>
        </w:rPr>
      </w:pPr>
      <w:r>
        <w:t>全面、科学、准确地开展PCB</w:t>
      </w:r>
      <w:r>
        <w:rPr>
          <w:rFonts w:hint="eastAsia"/>
        </w:rPr>
        <w:t>板级设计审查和仿真验证评估，加强管理PCB设计到制造的整个过程。</w:t>
      </w:r>
      <w:r>
        <w:rPr>
          <w:rFonts w:hint="eastAsia" w:ascii="宋体" w:hAnsi="宋体" w:cs="宋体"/>
          <w:szCs w:val="21"/>
        </w:rPr>
        <w:t>可以读入主流EDA设计软件的PCB电路板数据，基于规则对其电气、加工制造和装配进行快速检查审核，提前发现存在的错误、不足等，基于求解器，对PCB电路板的布局布线进行信号完整性、电源完整性等分析评估，加速产品研发流程，提升产品性能。</w:t>
      </w:r>
    </w:p>
    <w:p>
      <w:pPr>
        <w:spacing w:before="120" w:beforeLines="50" w:after="120" w:afterLines="50" w:line="360" w:lineRule="auto"/>
        <w:ind w:firstLine="422" w:firstLineChars="200"/>
        <w:jc w:val="left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2、为落实政府采购政策需满足的要求</w:t>
      </w:r>
    </w:p>
    <w:p>
      <w:pPr>
        <w:spacing w:before="120" w:beforeLines="50" w:after="120" w:afterLines="50" w:line="360" w:lineRule="auto"/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（1）执行《政府采购促进中小企业发展管理办法》（财库〔2020〕46号），本项目采购标的对应的中小企业划分标准所属行业：软件和信息技术服务业； </w:t>
      </w:r>
    </w:p>
    <w:p>
      <w:pPr>
        <w:spacing w:before="120" w:beforeLines="50" w:after="120" w:afterLines="50" w:line="360" w:lineRule="auto"/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（2）执行《财政部、司法部关于政府采购支持监狱企业发展有关问题的通知》（财库</w:t>
      </w:r>
    </w:p>
    <w:p>
      <w:pPr>
        <w:spacing w:before="120" w:beforeLines="50" w:after="120" w:afterLines="50" w:line="360" w:lineRule="auto"/>
        <w:ind w:firstLine="840" w:firstLineChars="4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[2014]68号）；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（3）执行《财政部关于在政府采购活动中查询及使用信用记录有关问题的通知》（财</w:t>
      </w:r>
    </w:p>
    <w:p>
      <w:pPr>
        <w:spacing w:before="120" w:beforeLines="50" w:after="120" w:afterLines="50" w:line="360" w:lineRule="auto"/>
        <w:ind w:firstLine="840" w:firstLineChars="4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库[2016]125号）；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（4）执行《三部门联合发布关于促进残疾人就业政府采购政策的通知》（财库[2017]141</w:t>
      </w:r>
    </w:p>
    <w:p>
      <w:pPr>
        <w:spacing w:before="120" w:beforeLines="50" w:after="120" w:afterLines="50" w:line="360" w:lineRule="auto"/>
        <w:ind w:left="420"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号）。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1"/>
        </w:rPr>
      </w:pPr>
      <w:r>
        <w:rPr>
          <w:rFonts w:hint="eastAsia" w:ascii="宋体" w:hAnsi="宋体" w:cs="宋体"/>
          <w:b/>
          <w:bCs/>
          <w:sz w:val="22"/>
          <w:szCs w:val="21"/>
        </w:rPr>
        <w:t>（二）采购标的需执行的国家相关标准、行业标准、地方标准或者其他标准、规范</w:t>
      </w:r>
      <w:r>
        <w:rPr>
          <w:rFonts w:hint="eastAsia" w:ascii="宋体" w:hAnsi="宋体" w:cs="宋体"/>
          <w:b/>
          <w:bCs/>
          <w:sz w:val="22"/>
          <w:szCs w:val="21"/>
          <w:lang w:eastAsia="zh-Hans"/>
        </w:rPr>
        <w:t xml:space="preserve"> 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无 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1"/>
        </w:rPr>
        <w:sectPr>
          <w:pgSz w:w="11907" w:h="16840"/>
          <w:pgMar w:top="1361" w:right="1797" w:bottom="1440" w:left="1797" w:header="851" w:footer="992" w:gutter="0"/>
          <w:cols w:space="720" w:num="1"/>
          <w:docGrid w:linePitch="326" w:charSpace="0"/>
        </w:sectPr>
      </w:pP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2"/>
        </w:rPr>
      </w:pPr>
      <w:r>
        <w:rPr>
          <w:rFonts w:hint="eastAsia" w:ascii="宋体" w:hAnsi="宋体" w:cs="宋体"/>
          <w:b/>
          <w:bCs/>
          <w:sz w:val="22"/>
          <w:szCs w:val="21"/>
        </w:rPr>
        <w:t>（三）采购标</w:t>
      </w:r>
      <w:r>
        <w:rPr>
          <w:rFonts w:hint="eastAsia" w:ascii="宋体" w:hAnsi="宋体" w:cs="宋体"/>
          <w:b/>
          <w:bCs/>
          <w:sz w:val="22"/>
          <w:szCs w:val="22"/>
        </w:rPr>
        <w:t>的需满足的质量、安全、技术规格、物理特性等要求</w:t>
      </w:r>
    </w:p>
    <w:tbl>
      <w:tblPr>
        <w:tblStyle w:val="7"/>
        <w:tblW w:w="85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319"/>
        <w:gridCol w:w="5717"/>
        <w:gridCol w:w="7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715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319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设备名称</w:t>
            </w:r>
          </w:p>
        </w:tc>
        <w:tc>
          <w:tcPr>
            <w:tcW w:w="5717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质量、安全、技术规格、物理特性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要求</w:t>
            </w:r>
          </w:p>
        </w:tc>
        <w:tc>
          <w:tcPr>
            <w:tcW w:w="751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15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PCB基于规则的验证审查与信号完整性和电源完整性仿真分析软件</w:t>
            </w:r>
          </w:p>
        </w:tc>
        <w:tc>
          <w:tcPr>
            <w:tcW w:w="5717" w:type="dxa"/>
            <w:noWrap w:val="0"/>
            <w:vAlign w:val="bottom"/>
          </w:tcPr>
          <w:p>
            <w:pPr>
              <w:pStyle w:val="9"/>
              <w:numPr>
                <w:ilvl w:val="0"/>
                <w:numId w:val="2"/>
              </w:numPr>
              <w:ind w:firstLineChars="0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支持所有主流EDA软件格式导入，例如：Cadence Allegro Expansion, Cadence Specctra, Cadence OrCAD, MentorGraphics Board station, MentorGraphics Xpedition, MentorGraphics PADS, Zuken, Altium, Autodesk, IPC-2581, ODB++, CADVANCE,</w:t>
            </w:r>
            <w:r>
              <w:rPr>
                <w:rFonts w:hint="eastAsia" w:ascii="宋体" w:hAnsi="宋体" w:cs="宋体"/>
                <w:sz w:val="21"/>
                <w:szCs w:val="21"/>
                <w:lang w:eastAsia="zh-Hans"/>
              </w:rPr>
              <w:t>CAM</w:t>
            </w:r>
            <w:r>
              <w:rPr>
                <w:rFonts w:ascii="宋体" w:hAnsi="宋体" w:cs="宋体"/>
                <w:sz w:val="21"/>
                <w:szCs w:val="21"/>
                <w:lang w:eastAsia="zh-Hans"/>
              </w:rPr>
              <w:t>350,</w:t>
            </w:r>
            <w:r>
              <w:rPr>
                <w:rFonts w:hint="eastAsia" w:ascii="宋体" w:hAnsi="宋体" w:cs="宋体"/>
                <w:sz w:val="21"/>
                <w:szCs w:val="21"/>
              </w:rPr>
              <w:t>Gerber等。可实现PCB设计文件到仿真输入文件的完整转换，在转换过程中关键数据信息不丢失。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支持PCB板图文件的可视化，例如零部件/网络/焊盘/过孔等，支持拓扑的2D或者3D视图显示。支持数据信息的提取。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支持PCB网络的拓扑显示与分析，具备拓扑编辑功能，可以查看PCB真实的封装装配效果。支持用于注释的红色标记功能。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支持创建和编辑元件数据，例如元件的逻辑符号、焊盘、封装形状、电属性和热属性等。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支持外部元件库的导入，支持Cadence-Allegro(*.comp), Cadence-Allegro(Lib), Mentor Graphics-Board station(Lib), Mentor Graphics – Expedition(*.hkp), Zuken CDB 等。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支持所有主流EDA软件的设计原理图检查，包含但不限于EDIF2.0.0，Cadence-Concept, Cadence-OrCAD Capture，Mentor DxDesigner, Altium Designer, Zuken-System Designer,Zuken-Design Gateway等。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软件支持多种器件类型，例如IBIS(.ibs)、SPICE、S/Y/Z参数、线性器件模型(.dmf)、封装寄生参数模型(.pmf)等。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▲ 具备信号完整性SI分析功能，包括传输线分析和数据线分析、网络分析、ADD/CMD/CTRL线分析、自动DDR总线分析、信号串扰分析、网络拓扑分析以及波形、眼图、网络参数和时域反射等分析类型。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▲ 具备电源完整性PI分析功能，包括直流压降(DC IR Current Drop)分析、交流电源分配网络（AC PDN）分析以及去耦电容布局分析。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具备热分析功能，通过自定义元器件的内置封装相关热阻值、功率损耗等参数计算板轮廓、板顶层/底层和元器件结温的三维有限元热稳态分析结果。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用于EMC/EMI仿真的激励，且可与HFSS对接。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软件集成行业内的通用PCB检查规则项，并附加详细解释，用户可自行选择。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▲ 电气规则检查(DFE)的项应包含包括高速信号、差分对、走线网络、电源、滤波器、元器件和电路板等以提前预测可能出现的电气故障。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▲ 加工工艺检查(DFM) 的检查项应包含电路板、元件、钻孔尺寸、柔性印刷电路板(FPCB)、封装、焊盘、图案(Pattern)、元件布局(Placement)、测试点以及底层填充材料(Underfill)等以提前判断PCB板制造工艺的合理性。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▲ 装配检查(DFA)的检查项应包含制造装配关注的布局冲突、引线、放置元器件和电路板等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支持根据现场状态定制/添加规则以快速响应客户的技术变更。</w:t>
            </w:r>
          </w:p>
          <w:p>
            <w:pPr>
              <w:pStyle w:val="9"/>
              <w:numPr>
                <w:ilvl w:val="0"/>
                <w:numId w:val="2"/>
              </w:numPr>
              <w:ind w:firstLineChars="0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检查完成后软件可输出用户自定义和格式化的Excel 验证结果报告，并带有详细的图片对照说明。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1套</w:t>
            </w:r>
          </w:p>
        </w:tc>
      </w:tr>
    </w:tbl>
    <w:p>
      <w:pPr>
        <w:pStyle w:val="6"/>
        <w:ind w:left="0"/>
        <w:rPr>
          <w:rFonts w:hint="eastAsia"/>
        </w:rPr>
      </w:pP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1"/>
        </w:rPr>
      </w:pPr>
      <w:r>
        <w:rPr>
          <w:rFonts w:hint="eastAsia" w:ascii="宋体" w:hAnsi="宋体" w:cs="宋体"/>
          <w:b/>
          <w:bCs/>
          <w:sz w:val="22"/>
          <w:szCs w:val="21"/>
        </w:rPr>
        <w:t>*（四）采购标的的数量、采购项目交付或者实施的时间和地点</w:t>
      </w:r>
    </w:p>
    <w:p>
      <w:pPr>
        <w:spacing w:before="120" w:beforeLines="50" w:after="120" w:afterLines="50" w:line="360" w:lineRule="auto"/>
        <w:jc w:val="center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货物需求一览表</w:t>
      </w:r>
    </w:p>
    <w:tbl>
      <w:tblPr>
        <w:tblStyle w:val="7"/>
        <w:tblW w:w="83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866"/>
        <w:gridCol w:w="867"/>
        <w:gridCol w:w="2280"/>
        <w:gridCol w:w="1381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0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866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货物名称</w:t>
            </w:r>
          </w:p>
        </w:tc>
        <w:tc>
          <w:tcPr>
            <w:tcW w:w="867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2280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项目实施的时间</w:t>
            </w:r>
          </w:p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</w:rPr>
              <w:t>（供货周期）</w:t>
            </w:r>
          </w:p>
        </w:tc>
        <w:tc>
          <w:tcPr>
            <w:tcW w:w="1381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</w:rPr>
              <w:t>项目实施的地点</w:t>
            </w:r>
          </w:p>
        </w:tc>
        <w:tc>
          <w:tcPr>
            <w:tcW w:w="1276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是否核心产品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866" w:type="dxa"/>
            <w:noWrap w:val="0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PCB基于规则的验证审查与信号完整性和电源完整性仿真分析软件</w:t>
            </w:r>
          </w:p>
        </w:tc>
        <w:tc>
          <w:tcPr>
            <w:tcW w:w="867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228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t>合同签订后3个月内完成产品调试及交付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中关村校区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</w:t>
            </w:r>
          </w:p>
        </w:tc>
      </w:tr>
    </w:tbl>
    <w:p>
      <w:pPr>
        <w:pStyle w:val="5"/>
      </w:pP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1"/>
        </w:rPr>
      </w:pPr>
      <w:r>
        <w:rPr>
          <w:rFonts w:hint="eastAsia" w:ascii="宋体" w:hAnsi="宋体" w:cs="宋体"/>
          <w:b/>
          <w:bCs/>
          <w:sz w:val="22"/>
          <w:szCs w:val="21"/>
        </w:rPr>
        <w:t>（五）采购标的需满足的服务标准、期限、效率等要求</w:t>
      </w:r>
    </w:p>
    <w:p>
      <w:pPr>
        <w:numPr>
          <w:ilvl w:val="0"/>
          <w:numId w:val="3"/>
        </w:numPr>
        <w:spacing w:before="120" w:beforeLines="50" w:after="120" w:afterLines="50" w:line="360" w:lineRule="auto"/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交付要求：板级电子设计与自动化分析软件；</w:t>
      </w:r>
    </w:p>
    <w:p>
      <w:pPr>
        <w:numPr>
          <w:ilvl w:val="0"/>
          <w:numId w:val="3"/>
        </w:numPr>
        <w:spacing w:before="120" w:beforeLines="50" w:after="120" w:afterLines="50" w:line="360" w:lineRule="auto"/>
        <w:ind w:firstLine="420"/>
        <w:rPr>
          <w:rFonts w:hint="eastAsia"/>
        </w:rPr>
      </w:pPr>
      <w:r>
        <w:rPr>
          <w:rFonts w:hint="eastAsia" w:ascii="宋体" w:hAnsi="宋体" w:cs="宋体"/>
          <w:szCs w:val="21"/>
        </w:rPr>
        <w:t>软件使用寿命：</w:t>
      </w:r>
      <w:r>
        <w:rPr>
          <w:rFonts w:hint="eastAsia" w:ascii="宋体" w:hAnsi="宋体" w:cs="宋体"/>
          <w:szCs w:val="21"/>
          <w:lang w:eastAsia="zh-Hans"/>
        </w:rPr>
        <w:t>永久license</w:t>
      </w:r>
      <w:r>
        <w:rPr>
          <w:rFonts w:hint="eastAsia" w:ascii="宋体" w:hAnsi="宋体" w:cs="宋体"/>
          <w:szCs w:val="21"/>
        </w:rPr>
        <w:t>；</w:t>
      </w:r>
    </w:p>
    <w:p>
      <w:pPr>
        <w:numPr>
          <w:ilvl w:val="0"/>
          <w:numId w:val="3"/>
        </w:numPr>
        <w:spacing w:before="120" w:beforeLines="50" w:after="120" w:afterLines="50" w:line="360" w:lineRule="auto"/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售后服务要求：</w:t>
      </w:r>
    </w:p>
    <w:p>
      <w:pPr>
        <w:spacing w:before="120" w:beforeLines="50" w:after="120" w:afterLines="50" w:line="360" w:lineRule="auto"/>
        <w:ind w:firstLine="211" w:firstLineChars="1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*</w:t>
      </w:r>
      <w:r>
        <w:rPr>
          <w:rFonts w:hint="eastAsia" w:ascii="宋体" w:hAnsi="宋体" w:cs="宋体"/>
          <w:szCs w:val="21"/>
        </w:rPr>
        <w:t xml:space="preserve"> 3.1产品自安装、调试合格之日起在正常使用状态下，质保期为1年；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3.2质保期内卖方负责维修。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3.3投标人须提供7×24小时售后响应服务，2小时内响应；2个工作日内到达现场开展维修。</w:t>
      </w:r>
    </w:p>
    <w:p>
      <w:pPr>
        <w:numPr>
          <w:ilvl w:val="0"/>
          <w:numId w:val="3"/>
        </w:numPr>
        <w:spacing w:before="120" w:beforeLines="50" w:after="120" w:afterLines="50" w:line="360" w:lineRule="auto"/>
        <w:ind w:firstLine="42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培训服务要求：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4.1提供板级电子设计与自动化分析软件使用培训及相关教程，1天，用户现场。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4.2提供1天客户现场售后培训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4.3软件提供1年免费升级服务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4.4终身维护及技术支持，提供24小时电话、邮件等服务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4.5可免费参加公司举办的公开技术培训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1"/>
          <w:lang w:val="zh-CN"/>
        </w:rPr>
      </w:pPr>
      <w:r>
        <w:rPr>
          <w:rFonts w:hint="eastAsia" w:ascii="宋体" w:hAnsi="宋体" w:cs="宋体"/>
          <w:b/>
          <w:bCs/>
          <w:sz w:val="22"/>
          <w:szCs w:val="21"/>
          <w:lang w:val="zh-CN"/>
        </w:rPr>
        <w:t>（</w:t>
      </w:r>
      <w:r>
        <w:rPr>
          <w:rFonts w:hint="eastAsia" w:ascii="宋体" w:hAnsi="宋体" w:cs="宋体"/>
          <w:b/>
          <w:bCs/>
          <w:sz w:val="22"/>
          <w:szCs w:val="21"/>
        </w:rPr>
        <w:t>六</w:t>
      </w:r>
      <w:r>
        <w:rPr>
          <w:rFonts w:hint="eastAsia" w:ascii="宋体" w:hAnsi="宋体" w:cs="宋体"/>
          <w:b/>
          <w:bCs/>
          <w:sz w:val="22"/>
          <w:szCs w:val="21"/>
          <w:lang w:val="zh-CN"/>
        </w:rPr>
        <w:t>）采购标的验收标准；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最终验收时，按招标文件、投标文件及合同要求对所提供产品数量、质量、性能进行验收，对产品运转有关技术指标和性能进行测试和验收。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b/>
          <w:bCs/>
          <w:sz w:val="22"/>
          <w:szCs w:val="21"/>
        </w:rPr>
      </w:pPr>
      <w:r>
        <w:rPr>
          <w:rFonts w:hint="eastAsia" w:ascii="宋体" w:hAnsi="宋体" w:cs="宋体"/>
          <w:b/>
          <w:bCs/>
          <w:sz w:val="22"/>
          <w:szCs w:val="21"/>
        </w:rPr>
        <w:t>（七）采购标的的其他技术、服务等要求；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/>
          <w:color w:val="000000"/>
          <w:lang w:eastAsia="zh-Hans"/>
        </w:rPr>
      </w:pPr>
      <w:r>
        <w:rPr>
          <w:rFonts w:hint="eastAsia" w:ascii="宋体" w:hAnsi="宋体"/>
          <w:color w:val="000000"/>
        </w:rPr>
        <w:t>*  本项目合同条款中的付款方式为实质性条款</w:t>
      </w:r>
      <w:r>
        <w:rPr>
          <w:rFonts w:hint="eastAsia" w:ascii="宋体" w:hAnsi="宋体"/>
          <w:color w:val="000000"/>
          <w:lang w:eastAsia="zh-Hans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300A5B"/>
    <w:multiLevelType w:val="multilevel"/>
    <w:tmpl w:val="4C300A5B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5E540AA"/>
    <w:multiLevelType w:val="singleLevel"/>
    <w:tmpl w:val="55E540A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5E546CD"/>
    <w:multiLevelType w:val="singleLevel"/>
    <w:tmpl w:val="55E546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ZTM3MGE1N2U3ODBjN2FmZjVhMmQzMTg2OGNhZmEifQ=="/>
  </w:docVars>
  <w:rsids>
    <w:rsidRoot w:val="36157B9F"/>
    <w:rsid w:val="0CC20903"/>
    <w:rsid w:val="36157B9F"/>
    <w:rsid w:val="3930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3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sz w:val="28"/>
      <w:szCs w:val="24"/>
    </w:rPr>
  </w:style>
  <w:style w:type="paragraph" w:styleId="5">
    <w:name w:val="Body Text"/>
    <w:basedOn w:val="1"/>
    <w:next w:val="1"/>
    <w:qFormat/>
    <w:uiPriority w:val="0"/>
    <w:pPr>
      <w:widowControl/>
      <w:spacing w:line="360" w:lineRule="auto"/>
    </w:pPr>
    <w:rPr>
      <w:color w:val="FF0000"/>
    </w:rPr>
  </w:style>
  <w:style w:type="paragraph" w:styleId="6">
    <w:name w:val="toc 2"/>
    <w:basedOn w:val="1"/>
    <w:next w:val="1"/>
    <w:qFormat/>
    <w:uiPriority w:val="39"/>
    <w:pPr>
      <w:ind w:left="210"/>
      <w:jc w:val="left"/>
    </w:pPr>
    <w:rPr>
      <w:rFonts w:ascii="等线" w:eastAsia="等线"/>
      <w:smallCaps/>
      <w:sz w:val="20"/>
    </w:rPr>
  </w:style>
  <w:style w:type="paragraph" w:customStyle="1" w:styleId="9">
    <w:name w:val="L正文"/>
    <w:basedOn w:val="1"/>
    <w:qFormat/>
    <w:uiPriority w:val="0"/>
    <w:pPr>
      <w:widowControl/>
      <w:spacing w:line="360" w:lineRule="auto"/>
      <w:ind w:firstLine="420" w:firstLineChars="200"/>
      <w:jc w:val="left"/>
    </w:pPr>
    <w:rPr>
      <w:rFonts w:ascii="Times New Roman" w:hAnsi="Times New Roman" w:eastAsia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1395</Words>
  <Characters>1933</Characters>
  <Lines>0</Lines>
  <Paragraphs>0</Paragraphs>
  <TotalTime>1</TotalTime>
  <ScaleCrop>false</ScaleCrop>
  <LinksUpToDate>false</LinksUpToDate>
  <CharactersWithSpaces>1985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2022-05-31T02:51:00Z</dcterms:created>
  <dc:creator>Administrator</dc:creator>
  <cp:lastModifiedBy>baeklove04</cp:lastModifiedBy>
  <dcterms:modified xsi:type="dcterms:W3CDTF">2022-06-04T08:14:41Z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FBD2465E470A4F33A7FB9F15A8261073</vt:lpwstr>
  </property>
</Properties>
</file>